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August 12,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and the disclosure incorporated by reference in Item 7.01 with respect to Exhibit 99.1 attached to this Current Report on Form 8-K are being furnished by Ellington Credit Company (the "Fund") pursuant to Item 7.01 of Form 8-K in satisfaction of the public disclosure requirements of Regulation FD and Item 2.02 of Form 8-K, insofar as they disclose historical information regarding the Fund's results of operations or financial condition for the quarter ended June 30,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12, 2026, the Fund issued a press release announcing its financial results for the quarter ended June 30, 2026. A copy of the press release is furnished herewith as Exhibit 99.1 to this Current Report on Form 8-K and is incorporated herein by reference.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2.02 and the disclosure incorporated by reference in Item 7.01 shall not be deemed "filed" for the purposes of Section 18 of the Securities Exchange Act of 1934, as amended (the "Exchange Act"), or otherwise subject to the liabilities of that section, nor shall it be deemed incorporated by reference into any filing made by the Fund under the Exchange Act or the Securities Act of 1933, as amended, except as shall be expressly set forth by specific reference in such a filing.</w:t>
      </w:r>
    </w:p>
    <w:p>
      <w:pPr>
        <w:pStyle w:val="TextBody"/>
        <w:bidi w:val="0"/>
        <w:spacing w:lineRule="auto" w:line="288" w:before="270" w:after="283"/>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disclosure contained in Item 2.02 is incorporated herein by reference. </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exhibits are being furnished herewith this Current Report on Form 8-K. </w:t>
      </w:r>
    </w:p>
    <w:p>
      <w:pPr>
        <w:pStyle w:val="TextBody"/>
        <w:bidi w:val="0"/>
        <w:spacing w:lineRule="auto" w:line="288" w:before="180" w:after="283"/>
        <w:ind w:left="0" w:right="0" w:firstLine="1440"/>
        <w:jc w:val="left"/>
        <w:rPr/>
      </w:pPr>
      <w:r>
        <w:rPr>
          <w:rFonts w:ascii="Times New Roman;serif" w:hAnsi="Times New Roman;serif"/>
          <w:b w:val="false"/>
          <w:color w:val="000000"/>
          <w:sz w:val="20"/>
        </w:rPr>
        <w:t>99.1    </w:t>
      </w:r>
      <w:hyperlink w:anchor="earnearningsrelease-june30.htm">
        <w:r>
          <w:rPr>
            <w:rStyle w:val="InternetLink"/>
            <w:rFonts w:ascii="Times New Roman;serif" w:hAnsi="Times New Roman;serif"/>
            <w:b w:val="false"/>
            <w:color w:val="0000FF"/>
            <w:sz w:val="20"/>
            <w:u w:val="single"/>
          </w:rPr>
          <w:t>Press Release dated August 12, 2026</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682"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Ellington Credit Company Announces Financial Results for the First Fiscal Quarter Ended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Connecticut—August 12, 2026—Ellington Credit Company (NYSE: EARN) ("we") today reported financial results for the quarter ended June 30,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Highlights </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Net asset value (NAV) per share was $4.18 as of June 30, 2026, which includes the effects of distributions of $0.24 per share for the quarter.</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 xml:space="preserve">GAAP net income was $12.3 million, or $0.33 per share. </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Net investment income ("NII") was $6.1 million, or $0.16 per share.</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Adjusted net investment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$5.7 million, or $0.15 per share.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CLO portfolio was $334.1 million as of June 30, 2026.</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CLO debt investments—$154.1 million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CLO equity investments—$180.0 million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Purchased $64.8 million of CLO investments and sold $35.1 million, across 64 trades.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Weighted average GAAP yield</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the quarter, based on amortized cost, was 11.9% on the total CLO portfolio.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Received $17.6 million in recurring cash distributions</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from the CLO portfolio, or $0.47 per share.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Raised $2.6 million through the issuance</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of 579,416 common shares prices representing a 5% weighted average premium to NAV per share.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"The second calendar quarter validated the actions we took in response to the first quarter market dislocation," said Laurence Penn, Chief Executive Officer and President. "The market selloff early in the year enhanced the CLO opportunity set, and we responded by rapidly deploying the proceeds from our March unsecured note offering while actively repositioning the portfolio. Although net investment income for the quarter did not yet fully reflect our expanded and repositioned portfolio, we generated a quarterly economic return of 8% (non-annualized), grew NAV per share, and enhanced our future earnings capacity.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market conditions stabilized during the quarter, we refined our portfolio to upgrade credit quality and improve long-term return potential. In mezzanine debt, we rotated out of lower-coupon, shorter-spread-duration positions trading near or above par and into higher-coupon, wider-spread investments with stronger underlying credit fundamentals. In CLO equity, we added longer-tenor, higher-cash-flow structures while reducing exposure to shorter-tenor positions with greater sensitivity to loan price volatility. We also benefited from several refinancings and resets of existing CLO equity positions, enhancing both near-term cash flows and long-term earnings power.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"Looking ahead, we believe that the market dynamics that emerged during the second quarter — including higher reinvestment yields, improving credit fundamentals, and a more constructive technical backdrop — continue to favor active portfolio management. We expect net investment income to grow as we deploy the excess liquidity held at quarter end, selectively increase leverage, and rotate the portfolio toward higher-yielding investments. Combined with our active trading capabilities, flexible balance sheet, and disciplined hedging strategy, EARN is well positioned to generate attractive risk-adjusted returns for our shareholders."</w:t>
      </w:r>
    </w:p>
    <w:p>
      <w:pPr>
        <w:pStyle w:val="TextBody"/>
        <w:bidi w:val="0"/>
        <w:spacing w:lineRule="auto" w:line="288" w:before="0" w:after="0"/>
        <w:ind w:left="0" w:right="0" w:hanging="9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Adjusted net investment income is a non-GAAP financial measure. See "Reconciliation of Adjusted Net Investment Income to Net Investment Income" below for an explanation regarding the calculation of Adjusted net investment income.</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Based on amortized cost; used in the calculation of interest income.</w:t>
      </w:r>
    </w:p>
    <w:p>
      <w:pPr>
        <w:pStyle w:val="TextBody"/>
        <w:bidi w:val="0"/>
        <w:spacing w:lineRule="auto" w:line="288" w:before="0" w:after="0"/>
        <w:ind w:left="0" w:right="0" w:hanging="9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6"/>
        </w:rPr>
        <w:t>"Recurring cash distributions" primarily includes distributions received from our CLO investments but excludes cash received from CLO redemptions or sales during the quarter.</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6"/>
        </w:rPr>
        <w:t>Issued pursuant to a committed equity financing agreement entered into on June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and subsequent to the quarter ended June 30, 2026, our Board of Trustees declared the following distributions on our common shares. </w:t>
      </w:r>
    </w:p>
    <w:tbl>
      <w:tblPr>
        <w:tblW w:w="7774" w:type="dxa"/>
        <w:jc w:val="left"/>
        <w:tblInd w:w="0" w:type="dxa"/>
        <w:tblLayout w:type="fixed"/>
        <w:tblCellMar>
          <w:top w:w="28" w:type="dxa"/>
          <w:left w:w="28" w:type="dxa"/>
          <w:bottom w:w="28" w:type="dxa"/>
          <w:right w:w="28" w:type="dxa"/>
        </w:tblCellMar>
      </w:tblPr>
      <w:tblGrid>
        <w:gridCol w:w="565"/>
        <w:gridCol w:w="496"/>
        <w:gridCol w:w="499"/>
        <w:gridCol w:w="109"/>
        <w:gridCol w:w="109"/>
        <w:gridCol w:w="109"/>
        <w:gridCol w:w="484"/>
        <w:gridCol w:w="484"/>
        <w:gridCol w:w="486"/>
        <w:gridCol w:w="109"/>
        <w:gridCol w:w="109"/>
        <w:gridCol w:w="109"/>
        <w:gridCol w:w="574"/>
        <w:gridCol w:w="574"/>
        <w:gridCol w:w="576"/>
        <w:gridCol w:w="109"/>
        <w:gridCol w:w="109"/>
        <w:gridCol w:w="109"/>
        <w:gridCol w:w="495"/>
        <w:gridCol w:w="1199"/>
        <w:gridCol w:w="36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Per Share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composition of the investment portfolio as of June 30, 2026. </w:t>
      </w:r>
    </w:p>
    <w:tbl>
      <w:tblPr>
        <w:tblW w:w="7976"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62"/>
        <w:gridCol w:w="1027"/>
        <w:gridCol w:w="135"/>
        <w:gridCol w:w="109"/>
        <w:gridCol w:w="109"/>
        <w:gridCol w:w="109"/>
        <w:gridCol w:w="211"/>
        <w:gridCol w:w="826"/>
        <w:gridCol w:w="109"/>
        <w:gridCol w:w="109"/>
        <w:gridCol w:w="109"/>
        <w:gridCol w:w="109"/>
        <w:gridCol w:w="430"/>
        <w:gridCol w:w="430"/>
        <w:gridCol w:w="1255"/>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Investments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CLO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129,170 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CLO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CLO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216,347 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CLO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 debt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387,863 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388,267 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Hedges</w:t>
      </w:r>
    </w:p>
    <w:p>
      <w:pPr>
        <w:pStyle w:val="TextBody"/>
        <w:bidi w:val="0"/>
        <w:spacing w:lineRule="auto" w:line="288" w:before="90" w:after="283"/>
        <w:jc w:val="left"/>
        <w:rPr/>
      </w:pPr>
      <w:r>
        <w:rPr>
          <w:rFonts w:ascii="Times New Roman;serif" w:hAnsi="Times New Roman;serif"/>
          <w:b w:val="false"/>
          <w:color w:val="000000"/>
          <w:sz w:val="20"/>
        </w:rPr>
        <w:t>The following table summarizes our credit hedges, expressed in estimated notional equivalents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the Markit CDX North American High Yield Index (the "Index"), as of June 30, 2026:</w:t>
      </w:r>
    </w:p>
    <w:tbl>
      <w:tblPr>
        <w:tblW w:w="434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430"/>
        <w:gridCol w:w="1836"/>
        <w:gridCol w:w="313"/>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Index Equivalents</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Hedges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(1)Notional equivalents are estimated based on historical price relationships between credit hedges (and/or their underlying components) and the Index, together with other factors. Our estimations of price relationships between instruments may change over time, and actual price relationships experienced may differ from those previously estimated.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(2)Corporate credit hedges may include CDS, ETFs, equities, total return swaps, and similar instruments referencing both single issuers and indices, as well as options, tranches, and other derivatives on such instruments.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borrowings as of June 30, 2026:</w:t>
      </w:r>
    </w:p>
    <w:tbl>
      <w:tblPr>
        <w:tblW w:w="5291" w:type="dxa"/>
        <w:jc w:val="left"/>
        <w:tblInd w:w="0" w:type="dxa"/>
        <w:tblLayout w:type="fixed"/>
        <w:tblCellMar>
          <w:top w:w="28" w:type="dxa"/>
          <w:left w:w="28" w:type="dxa"/>
          <w:bottom w:w="28" w:type="dxa"/>
          <w:right w:w="28" w:type="dxa"/>
        </w:tblCellMar>
      </w:tblPr>
      <w:tblGrid>
        <w:gridCol w:w="955"/>
        <w:gridCol w:w="840"/>
        <w:gridCol w:w="844"/>
        <w:gridCol w:w="109"/>
        <w:gridCol w:w="109"/>
        <w:gridCol w:w="109"/>
        <w:gridCol w:w="412"/>
        <w:gridCol w:w="1613"/>
        <w:gridCol w:w="30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Outstanding Borrowing</w:t>
            </w:r>
            <w:r>
              <w:rPr>
                <w:rFonts w:ascii="Times New Roman;serif" w:hAnsi="Times New Roman;serif"/>
                <w:b/>
                <w:color w:val="000000"/>
                <w:sz w:val="13"/>
              </w:rPr>
              <w:t>(1)</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205,935 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outstanding principal amount of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ind w:left="0" w:right="0" w:hanging="27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operating results for the quarter ended June 30, 2026:</w:t>
      </w:r>
    </w:p>
    <w:tbl>
      <w:tblPr>
        <w:tblW w:w="10205" w:type="dxa"/>
        <w:jc w:val="left"/>
        <w:tblInd w:w="0" w:type="dxa"/>
        <w:tblLayout w:type="fixed"/>
        <w:tblCellMar>
          <w:top w:w="28" w:type="dxa"/>
          <w:left w:w="28" w:type="dxa"/>
          <w:bottom w:w="28" w:type="dxa"/>
          <w:right w:w="28" w:type="dxa"/>
        </w:tblCellMar>
      </w:tblPr>
      <w:tblGrid>
        <w:gridCol w:w="604"/>
        <w:gridCol w:w="344"/>
        <w:gridCol w:w="347"/>
        <w:gridCol w:w="216"/>
        <w:gridCol w:w="630"/>
        <w:gridCol w:w="111"/>
        <w:gridCol w:w="109"/>
        <w:gridCol w:w="109"/>
        <w:gridCol w:w="109"/>
        <w:gridCol w:w="224"/>
        <w:gridCol w:w="655"/>
        <w:gridCol w:w="116"/>
        <w:gridCol w:w="109"/>
        <w:gridCol w:w="109"/>
        <w:gridCol w:w="109"/>
        <w:gridCol w:w="216"/>
        <w:gridCol w:w="739"/>
        <w:gridCol w:w="111"/>
        <w:gridCol w:w="109"/>
        <w:gridCol w:w="109"/>
        <w:gridCol w:w="109"/>
        <w:gridCol w:w="255"/>
        <w:gridCol w:w="618"/>
        <w:gridCol w:w="133"/>
        <w:gridCol w:w="109"/>
        <w:gridCol w:w="109"/>
        <w:gridCol w:w="109"/>
        <w:gridCol w:w="211"/>
        <w:gridCol w:w="634"/>
        <w:gridCol w:w="109"/>
        <w:gridCol w:w="109"/>
        <w:gridCol w:w="109"/>
        <w:gridCol w:w="109"/>
        <w:gridCol w:w="211"/>
        <w:gridCol w:w="721"/>
        <w:gridCol w:w="109"/>
        <w:gridCol w:w="109"/>
        <w:gridCol w:w="109"/>
        <w:gridCol w:w="109"/>
        <w:gridCol w:w="221"/>
        <w:gridCol w:w="536"/>
        <w:gridCol w:w="172"/>
      </w:tblGrid>
      <w:tr>
        <w:trPr/>
        <w:tc>
          <w:tcPr>
            <w:tcW w:w="6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Quarter Ended June 30, 2026</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U.S. CLO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European CLO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U.S. CLO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European CLO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Other</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Total Per Share</w:t>
            </w:r>
            <w:r>
              <w:rPr>
                <w:rFonts w:ascii="Times New Roman;serif" w:hAnsi="Times New Roman;serif"/>
                <w:b/>
                <w:color w:val="000000"/>
                <w:sz w:val="12"/>
              </w:rPr>
              <w:t>(2)</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income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investments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foreign currency hedges, and other activities</w:t>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per share</w:t>
            </w:r>
            <w:r>
              <w:rPr>
                <w:rFonts w:ascii="Times New Roman;serif" w:hAnsi="Times New Roman;serif"/>
                <w:b w:val="false"/>
                <w:color w:val="000000"/>
                <w:sz w:val="13"/>
              </w:rPr>
              <w:t>(2)</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interest income and net realized and change in unrealized gains (losses) associated with corporate debt and equity investments. Also includes management fees, performance fees, change in unrealized gain (loss) on unsecured borrowings, and various other operating expenses.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Based on weighted average shares outstanding of 37,628,975 shares for the quarter ended June 30, 2026.</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for the quarter ended March 31, 2026: </w:t>
      </w:r>
    </w:p>
    <w:tbl>
      <w:tblPr>
        <w:tblW w:w="10205" w:type="dxa"/>
        <w:jc w:val="left"/>
        <w:tblInd w:w="0" w:type="dxa"/>
        <w:tblLayout w:type="fixed"/>
        <w:tblCellMar>
          <w:top w:w="28" w:type="dxa"/>
          <w:left w:w="28" w:type="dxa"/>
          <w:bottom w:w="28" w:type="dxa"/>
          <w:right w:w="28" w:type="dxa"/>
        </w:tblCellMar>
      </w:tblPr>
      <w:tblGrid>
        <w:gridCol w:w="594"/>
        <w:gridCol w:w="334"/>
        <w:gridCol w:w="336"/>
        <w:gridCol w:w="214"/>
        <w:gridCol w:w="644"/>
        <w:gridCol w:w="110"/>
        <w:gridCol w:w="109"/>
        <w:gridCol w:w="109"/>
        <w:gridCol w:w="109"/>
        <w:gridCol w:w="219"/>
        <w:gridCol w:w="661"/>
        <w:gridCol w:w="113"/>
        <w:gridCol w:w="109"/>
        <w:gridCol w:w="109"/>
        <w:gridCol w:w="109"/>
        <w:gridCol w:w="214"/>
        <w:gridCol w:w="752"/>
        <w:gridCol w:w="110"/>
        <w:gridCol w:w="109"/>
        <w:gridCol w:w="109"/>
        <w:gridCol w:w="109"/>
        <w:gridCol w:w="247"/>
        <w:gridCol w:w="620"/>
        <w:gridCol w:w="129"/>
        <w:gridCol w:w="109"/>
        <w:gridCol w:w="109"/>
        <w:gridCol w:w="109"/>
        <w:gridCol w:w="211"/>
        <w:gridCol w:w="633"/>
        <w:gridCol w:w="109"/>
        <w:gridCol w:w="109"/>
        <w:gridCol w:w="109"/>
        <w:gridCol w:w="109"/>
        <w:gridCol w:w="211"/>
        <w:gridCol w:w="738"/>
        <w:gridCol w:w="109"/>
        <w:gridCol w:w="109"/>
        <w:gridCol w:w="109"/>
        <w:gridCol w:w="109"/>
        <w:gridCol w:w="218"/>
        <w:gridCol w:w="549"/>
        <w:gridCol w:w="168"/>
      </w:tblGrid>
      <w:tr>
        <w:trPr/>
        <w:tc>
          <w:tcPr>
            <w:tcW w:w="5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Quarter Ended March 31, 2026</w:t>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U.S. CLO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European CLO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U.S. CLO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European CLO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Other</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Total Per Share</w:t>
            </w:r>
            <w:r>
              <w:rPr>
                <w:rFonts w:ascii="Times New Roman;serif" w:hAnsi="Times New Roman;serif"/>
                <w:b/>
                <w:color w:val="000000"/>
                <w:sz w:val="12"/>
              </w:rPr>
              <w:t>(2)</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income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issuance costs</w:t>
            </w:r>
            <w:r>
              <w:rPr>
                <w:rFonts w:ascii="Times New Roman;serif" w:hAnsi="Times New Roman;serif"/>
                <w:b w:val="false"/>
                <w:color w:val="000000"/>
                <w:sz w:val="13"/>
              </w:rPr>
              <w:t>(3)</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 (loss) on investments</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 (loss) on investments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and foreign currency hedges, and other activities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per share</w:t>
            </w:r>
            <w:r>
              <w:rPr>
                <w:rFonts w:ascii="Times New Roman;serif" w:hAnsi="Times New Roman;serif"/>
                <w:b w:val="false"/>
                <w:color w:val="000000"/>
                <w:sz w:val="13"/>
              </w:rPr>
              <w:t>(2)</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interest income and net realized and change in unrealized gains (losses) associated with corporate debt and equity investments. Also includes management fees, performance fees, and various other operating expenses.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Based on weighted average shares outstanding of 37,572,206 shares for the quarter ended March 31, 2026.</w:t>
      </w:r>
    </w:p>
    <w:p>
      <w:pPr>
        <w:pStyle w:val="TextBody"/>
        <w:bidi w:val="0"/>
        <w:spacing w:lineRule="auto" w:line="288"/>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Includes $1.7 million of underwriters' fees related the issuance of the Senior Notes, for which we have elected the fair value option, and $0.6 million of professional fees and other expenses incurred in connection with such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CLO Performance</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the leveraged loan and broader corporate credit markets improved significantly. Easing geopolitical tensions, improving investor sentiment, and reduced default concerns in the software sector supported a sharp tightening in credit spreads. This, in turn, contributed to a meaningful increase in new issue supply across investment grade, high yield, and leveraged loan markets as borrowers sought to capitalize on improving market conditions to raise new financing. Despite weakness in June due to elevated loan issuance and quarter-end selling pressures, the Morningstar LSTA US Leveraged Loan Index rose by $0.33 during the quarter, while the European leveraged loan market generally outperformed the U.S. market, driven in part by more limited new-issue supply.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Improving loan market conditions supported strong performance across both mezzanine debt and CLO equity during the quarter. At quarter-end, the balance of loans in CLOs trading below $80 (a common proxy for distress) had declined by nearly a full percentage point to 5.4%. The recovery in several stressed credits reduced some concerns around future collateral losses, while refinancings of shorter-term loans trading at discounts to par further strengthened the overall credit quality of many underlying loan portfolios. Meanwhile, slowing repricing activity, particularly among premium-priced loans, moderated the compression of excess spreads, alleviating a recent headwind for CLO equity. Increased primary loan issuance also created attractive opportunities for CLO managers to reinvest principal proceeds into new, wider-spread loans, supporting future cash flows and long-term earnings power. Together, these developments created a favorable environment for CLO equity and lower-quality seasoned mezzanine debt. Higher-quality mezzanine tranches, already trading near par, offered more limited upside.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investment portfolio generated excellent results for the quarter, driven by net investment income as well as net realized and unrealized gains across U.S. equity and U.S. and European mezzanine investments. We also benefited from trading gains on mezzanine debt, and gains from the call of discounted mezzanine debt positions. Net losses on our credit hedges partially offset these gains. At June 30, 2026, our CLO portfolio had a fair value of $334.1 million and a weighted average projected yield of 16.6% (based on fair value), and we held cash and cash equivalents of $23.5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Asset Value Summary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assets and liabilities as of June 30, 2026: </w:t>
      </w:r>
    </w:p>
    <w:tbl>
      <w:tblPr>
        <w:tblW w:w="5366" w:type="dxa"/>
        <w:jc w:val="left"/>
        <w:tblInd w:w="0" w:type="dxa"/>
        <w:tblLayout w:type="fixed"/>
        <w:tblCellMar>
          <w:top w:w="28" w:type="dxa"/>
          <w:left w:w="28" w:type="dxa"/>
          <w:bottom w:w="28" w:type="dxa"/>
          <w:right w:w="28" w:type="dxa"/>
        </w:tblCellMar>
      </w:tblPr>
      <w:tblGrid>
        <w:gridCol w:w="1345"/>
        <w:gridCol w:w="1183"/>
        <w:gridCol w:w="1191"/>
        <w:gridCol w:w="109"/>
        <w:gridCol w:w="109"/>
        <w:gridCol w:w="109"/>
        <w:gridCol w:w="231"/>
        <w:gridCol w:w="921"/>
        <w:gridCol w:w="168"/>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382,542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borrowings,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222,830</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159,712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38,171,182 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 value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About Ellington Credit Company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 (the "Fund") is a non-diversified closed-end fund that seeks to provide attractive current cash flow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We will host a conference call at 11:00 a.m. Eastern Time on Thursday, August 13, 2026 to discuss our financial results for the quarter ended June 30, 2026. To participate in the event by telephone, please dial (800) 343-4849 at least 10 minutes prior to the start time and reference the conference ID: EARNQ127. International callers should dial (203) 518-9848 and reference the same conference ID. The conference call will also be webcast live over the Internet and can be accessed via the "For Investors" section of our web site at www.ellingtoncredit.com. To listen to the live webcast, please visit www.ellingtoncredit.com at least 15 minutes prior to the start of the call to register, download, and install necessary audio software. In connection with the release of these financial results, we also posted an investor presentation, that will accompany the conference call, on our website at www.ellingtoncredit.com under "For Investors—Presentations."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dial-in replay of the conference call will be available on Thursday, August 13, 2026, at approximately 2:00 p.m. Eastern Time through Thursday, August 20, 2026 at approximately 11:59 p.m. Eastern Time. To access this replay, please dial (800) 727-5306. International callers should dial (402) 220-2670. A replay of the conference call will also be archived on our web site at www.ellingtoncredit.com.</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may contain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Reconciliation of Adjusted Net Investment Income to Net Investment Income</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We calculate Adjusted Net Investment Income as net investment income adjusted for: (i) non-recurring expenses; (ii) non-capitalized transaction costs, (iii) net realized and change in net appreciation (depreciation) associated with periodic settlements on interest rate swaps, and (iv) interest and dividend income (expense) net of transaction fees associated with the referenced assets on total return swaps. Adjusted Net Investment Income is a supplemental non-GAAP financial measure. We believe that the presentation of Adjusted Net Investment Income provides information useful to investors, because: (i) we believe that it is a useful indicator of both current and projected long-term financial performance, in that it excludes the impact of certain expenses and non-capitalized transaction costs that we believe are less useful in forecasting long-term performance and distribution-paying ability; and (ii) we believe that realized and accrued periodic settlements on interest rates swaps and interest and dividend income (expense) net of transaction fees on total return swaps are similar to net investment income and are more appropriately classified as recurring.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calculation of Adjusted Net Investment Income may differ from the calculation of similarly titled non-GAAP financial measures by our peers, with the result that these non-GAAP financial measures might not be directly comparable. In addition, because Adjusted Net Investment Income is an incomplete measure of our financial results and differs from net investment income computed in accordance with U.S. GAAP, it should be considered supplementary to, and not as a substitute for, net investment income computed in accordance with U.S. GAAP.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setting our distributions, our Board of Trustees considers our earnings, liquidity, financial condition, distribution requirements, and financial covenants, along with other factors that our Board of Trustees may deem relevant from time to time.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for the quarters ended June 30, 2026 and March 31, 2026, our Adjusted Net Investment Income to the line on our Consolidated Statement of Operations entitled Net Investment Income, which we believe is the most directly comparable U.S. GAAP measure: </w:t>
      </w:r>
    </w:p>
    <w:tbl>
      <w:tblPr>
        <w:tblW w:w="10205" w:type="dxa"/>
        <w:jc w:val="left"/>
        <w:tblInd w:w="0" w:type="dxa"/>
        <w:tblLayout w:type="fixed"/>
        <w:tblCellMar>
          <w:top w:w="28" w:type="dxa"/>
          <w:left w:w="28" w:type="dxa"/>
          <w:bottom w:w="28" w:type="dxa"/>
          <w:right w:w="28" w:type="dxa"/>
        </w:tblCellMar>
      </w:tblPr>
      <w:tblGrid>
        <w:gridCol w:w="2670"/>
        <w:gridCol w:w="2130"/>
        <w:gridCol w:w="2137"/>
        <w:gridCol w:w="109"/>
        <w:gridCol w:w="109"/>
        <w:gridCol w:w="109"/>
        <w:gridCol w:w="311"/>
        <w:gridCol w:w="828"/>
        <w:gridCol w:w="130"/>
        <w:gridCol w:w="109"/>
        <w:gridCol w:w="109"/>
        <w:gridCol w:w="109"/>
        <w:gridCol w:w="319"/>
        <w:gridCol w:w="835"/>
        <w:gridCol w:w="191"/>
      </w:tblGrid>
      <w:tr>
        <w:trPr/>
        <w:tc>
          <w:tcPr>
            <w:tcW w:w="267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amounts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Non-capitalized transaction costs and non-recurring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realized and change in net appreciation (depreciation) on periodic settlements of interest rate swaps and net interest and dividend income (expense) on total return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37,628,975 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37,572,206 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Investment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the quarter ended March 31, 2026, includes $1.7 million of underwriters' fees related to the issuance of the Senior Notes, for which we have elected the fair value option, and $0.6 million of professional fees and other expenses incurred in connection with such issuance.</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3677</Words>
  <Characters>20640</Characters>
  <CharactersWithSpaces>24004</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